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27D2F" w:rsidRPr="00DC0A23" w:rsidRDefault="00527D2F" w:rsidP="00527D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52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Теория электрических цепей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27D2F" w:rsidRP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рассчитывать электрические цепи постоянного и переменного тока;</w:t>
      </w:r>
    </w:p>
    <w:p w:rsid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определять виды резонансов в электрических цепях.</w:t>
      </w: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527D2F" w:rsidRPr="00527D2F" w:rsidRDefault="00527D2F" w:rsidP="00527D2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2F">
        <w:rPr>
          <w:rFonts w:ascii="Times New Roman" w:eastAsia="Times New Roman" w:hAnsi="Times New Roman" w:cs="Times New Roman"/>
          <w:sz w:val="28"/>
          <w:szCs w:val="28"/>
        </w:rPr>
        <w:t>физические процессы в электрических цепях постоянного и переменного тока;</w:t>
      </w:r>
    </w:p>
    <w:p w:rsidR="00527D2F" w:rsidRPr="00527D2F" w:rsidRDefault="00527D2F" w:rsidP="00527D2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2F">
        <w:rPr>
          <w:rFonts w:ascii="Times New Roman" w:eastAsia="Times New Roman" w:hAnsi="Times New Roman" w:cs="Times New Roman"/>
          <w:sz w:val="28"/>
          <w:szCs w:val="28"/>
        </w:rPr>
        <w:t>физические законы электромагнитной индукции;</w:t>
      </w:r>
    </w:p>
    <w:p w:rsidR="00415C3A" w:rsidRPr="00527D2F" w:rsidRDefault="00527D2F" w:rsidP="00527D2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D2F">
        <w:rPr>
          <w:rFonts w:ascii="Times New Roman" w:eastAsia="Times New Roman" w:hAnsi="Times New Roman" w:cs="Times New Roman"/>
          <w:sz w:val="28"/>
          <w:szCs w:val="28"/>
        </w:rPr>
        <w:t>основные элементы электрических цепей постоянного и переменного тока.</w:t>
      </w: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Default="008640DA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527D2F" w:rsidRPr="00527D2F" w:rsidRDefault="00527D2F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27D2F" w:rsidRPr="00527D2F" w:rsidRDefault="00527D2F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27390101"/>
    <w:multiLevelType w:val="hybridMultilevel"/>
    <w:tmpl w:val="6D1ADB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1C25844"/>
    <w:multiLevelType w:val="hybridMultilevel"/>
    <w:tmpl w:val="FD22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A109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2020-06-02T05:29:00Z</dcterms:created>
  <dcterms:modified xsi:type="dcterms:W3CDTF">2020-06-02T05:32:00Z</dcterms:modified>
</cp:coreProperties>
</file>